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B33" w14:textId="77777777" w:rsidR="00F75A7C" w:rsidRPr="00101C75" w:rsidRDefault="00F75A7C" w:rsidP="00F75A7C">
      <w:pPr>
        <w:jc w:val="center"/>
        <w:rPr>
          <w:rFonts w:ascii="Nunito Sans" w:hAnsi="Nunito Sans"/>
          <w:sz w:val="27"/>
          <w:szCs w:val="27"/>
        </w:rPr>
      </w:pPr>
      <w:r w:rsidRPr="00101C75">
        <w:rPr>
          <w:rFonts w:ascii="Nunito Sans" w:hAnsi="Nunito Sans"/>
          <w:sz w:val="27"/>
          <w:szCs w:val="27"/>
        </w:rPr>
        <w:t>HUB Determination Form (HDF) Instructions</w:t>
      </w:r>
    </w:p>
    <w:p w14:paraId="1BC1D98E" w14:textId="77777777" w:rsidR="00F75A7C" w:rsidRPr="00101C75" w:rsidRDefault="00F75A7C" w:rsidP="00F75A7C">
      <w:pPr>
        <w:rPr>
          <w:rFonts w:ascii="Nunito Sans" w:hAnsi="Nunito Sans"/>
          <w:sz w:val="27"/>
          <w:szCs w:val="27"/>
        </w:rPr>
      </w:pPr>
      <w:bookmarkStart w:id="0" w:name="_Hlk158897247"/>
      <w:r w:rsidRPr="00101C75">
        <w:rPr>
          <w:rFonts w:ascii="Nunito Sans" w:hAnsi="Nunito Sans"/>
          <w:sz w:val="27"/>
          <w:szCs w:val="27"/>
        </w:rPr>
        <w:t xml:space="preserve">Non-exempt (per </w:t>
      </w:r>
      <w:hyperlink r:id="rId4" w:history="1">
        <w:r w:rsidRPr="00101C75">
          <w:rPr>
            <w:rStyle w:val="Hyperlink"/>
            <w:rFonts w:ascii="Nunito Sans" w:hAnsi="Nunito Sans"/>
            <w:sz w:val="27"/>
            <w:szCs w:val="27"/>
          </w:rPr>
          <w:t>TSUS CMHB Sec 3.2.3 E</w:t>
        </w:r>
      </w:hyperlink>
      <w:r w:rsidRPr="00101C75">
        <w:rPr>
          <w:rFonts w:ascii="Nunito Sans" w:hAnsi="Nunito Sans"/>
          <w:sz w:val="27"/>
          <w:szCs w:val="27"/>
        </w:rPr>
        <w:t>) and non-grant procurements $100,000 or greater will require a HUB Determination Form (HDF) be filled out by TXST departments if subcontracting is not probable.</w:t>
      </w:r>
    </w:p>
    <w:p w14:paraId="76C3CEA3" w14:textId="77777777" w:rsidR="00F75A7C" w:rsidRPr="00101C75" w:rsidRDefault="00F75A7C" w:rsidP="00F75A7C">
      <w:pPr>
        <w:rPr>
          <w:rFonts w:ascii="Nunito Sans" w:hAnsi="Nunito Sans"/>
          <w:bCs/>
          <w:sz w:val="27"/>
          <w:szCs w:val="27"/>
        </w:rPr>
      </w:pPr>
      <w:r w:rsidRPr="00101C75">
        <w:rPr>
          <w:rFonts w:ascii="Nunito Sans" w:hAnsi="Nunito Sans"/>
          <w:bCs/>
          <w:sz w:val="27"/>
          <w:szCs w:val="27"/>
        </w:rPr>
        <w:t>If subcontracting is probable the vendor needs to complete a HUB Subcontracting Plan (HSP) and the HDF is not required.</w:t>
      </w:r>
    </w:p>
    <w:p w14:paraId="50DB29F1" w14:textId="77777777" w:rsidR="00F75A7C" w:rsidRPr="00101C75" w:rsidRDefault="00F75A7C" w:rsidP="00F75A7C">
      <w:pPr>
        <w:rPr>
          <w:rFonts w:ascii="Nunito Sans" w:hAnsi="Nunito Sans"/>
          <w:sz w:val="27"/>
          <w:szCs w:val="27"/>
        </w:rPr>
      </w:pPr>
      <w:r w:rsidRPr="00101C75">
        <w:rPr>
          <w:rFonts w:ascii="Nunito Sans" w:hAnsi="Nunito Sans"/>
          <w:sz w:val="27"/>
          <w:szCs w:val="27"/>
        </w:rPr>
        <w:t xml:space="preserve">Grants and Subawards (per </w:t>
      </w:r>
      <w:hyperlink r:id="rId5" w:history="1">
        <w:r w:rsidRPr="00101C75">
          <w:rPr>
            <w:rStyle w:val="Hyperlink"/>
            <w:rFonts w:ascii="Nunito Sans" w:hAnsi="Nunito Sans"/>
            <w:sz w:val="27"/>
            <w:szCs w:val="27"/>
          </w:rPr>
          <w:t>Texas Government Code Sec. 2155.140</w:t>
        </w:r>
      </w:hyperlink>
      <w:r w:rsidRPr="00101C75">
        <w:rPr>
          <w:rFonts w:ascii="Nunito Sans" w:hAnsi="Nunito Sans"/>
          <w:sz w:val="27"/>
          <w:szCs w:val="27"/>
        </w:rPr>
        <w:t xml:space="preserve">), and Other Exempt purchases (per </w:t>
      </w:r>
      <w:hyperlink r:id="rId6" w:history="1">
        <w:r w:rsidRPr="00101C75">
          <w:rPr>
            <w:rStyle w:val="Hyperlink"/>
            <w:rFonts w:ascii="Nunito Sans" w:hAnsi="Nunito Sans"/>
            <w:sz w:val="27"/>
            <w:szCs w:val="27"/>
          </w:rPr>
          <w:t>TSUS CMHB Sec 3.2.3 E</w:t>
        </w:r>
      </w:hyperlink>
      <w:r w:rsidRPr="00101C75">
        <w:rPr>
          <w:rFonts w:ascii="Nunito Sans" w:hAnsi="Nunito Sans"/>
          <w:sz w:val="27"/>
          <w:szCs w:val="27"/>
        </w:rPr>
        <w:t>) do not require an HDF (i.e.  hotel rooms, library books, subscriptions, etc.).</w:t>
      </w:r>
    </w:p>
    <w:p w14:paraId="02E4DD98" w14:textId="77777777" w:rsidR="00F75A7C" w:rsidRPr="00101C75" w:rsidRDefault="00F75A7C" w:rsidP="00F75A7C">
      <w:pPr>
        <w:rPr>
          <w:rFonts w:ascii="Nunito Sans" w:hAnsi="Nunito Sans" w:cstheme="minorHAnsi"/>
          <w:sz w:val="27"/>
          <w:szCs w:val="27"/>
        </w:rPr>
      </w:pPr>
      <w:r w:rsidRPr="00101C75">
        <w:rPr>
          <w:rFonts w:ascii="Nunito Sans" w:eastAsia="Times New Roman" w:hAnsi="Nunito Sans" w:cs="Times New Roman"/>
          <w:color w:val="222222"/>
          <w:kern w:val="0"/>
          <w:sz w:val="27"/>
          <w:szCs w:val="27"/>
          <w14:ligatures w14:val="none"/>
        </w:rPr>
        <w:t xml:space="preserve">Use the steps outlined in the </w:t>
      </w:r>
      <w:hyperlink r:id="rId7" w:history="1">
        <w:bookmarkStart w:id="1" w:name="_Hlk158885084"/>
        <w:r w:rsidRPr="00101C75">
          <w:rPr>
            <w:rStyle w:val="Hyperlink"/>
            <w:rFonts w:ascii="Nunito Sans" w:eastAsia="Times New Roman" w:hAnsi="Nunito Sans" w:cs="Times New Roman"/>
            <w:kern w:val="0"/>
            <w:sz w:val="27"/>
            <w:szCs w:val="27"/>
            <w14:ligatures w14:val="none"/>
          </w:rPr>
          <w:t>Texas Administrative Code HUB Rules, Title 34, Part 1, Chapter 20, Subchapter D, Division 1, 20.28</w:t>
        </w:r>
        <w:bookmarkEnd w:id="1"/>
        <w:r w:rsidRPr="00101C75">
          <w:rPr>
            <w:rStyle w:val="Hyperlink"/>
            <w:rFonts w:ascii="Nunito Sans" w:eastAsia="Times New Roman" w:hAnsi="Nunito Sans" w:cs="Times New Roman"/>
            <w:kern w:val="0"/>
            <w:sz w:val="27"/>
            <w:szCs w:val="27"/>
            <w14:ligatures w14:val="none"/>
          </w:rPr>
          <w:t>5 (a)</w:t>
        </w:r>
      </w:hyperlink>
      <w:r w:rsidRPr="00101C75">
        <w:rPr>
          <w:rFonts w:ascii="Nunito Sans" w:eastAsia="Times New Roman" w:hAnsi="Nunito Sans" w:cs="Times New Roman"/>
          <w:color w:val="222222"/>
          <w:kern w:val="0"/>
          <w:sz w:val="27"/>
          <w:szCs w:val="27"/>
          <w14:ligatures w14:val="none"/>
        </w:rPr>
        <w:t xml:space="preserve"> to determine if subcontracting is probable.</w:t>
      </w:r>
    </w:p>
    <w:p w14:paraId="2115B7EF" w14:textId="77777777" w:rsidR="00F75A7C" w:rsidRPr="00101C75" w:rsidRDefault="00F75A7C" w:rsidP="00F75A7C">
      <w:pPr>
        <w:rPr>
          <w:rFonts w:ascii="Nunito Sans" w:hAnsi="Nunito Sans"/>
          <w:bCs/>
          <w:sz w:val="27"/>
          <w:szCs w:val="27"/>
        </w:rPr>
      </w:pPr>
      <w:r w:rsidRPr="00101C75">
        <w:rPr>
          <w:rFonts w:ascii="Nunito Sans" w:hAnsi="Nunito Sans"/>
          <w:sz w:val="27"/>
          <w:szCs w:val="27"/>
        </w:rPr>
        <w:t>The HDF states that the department has reviewed the purchase and has determined that subcontracting opportunities are not probable.</w:t>
      </w:r>
      <w:r w:rsidRPr="00101C75">
        <w:rPr>
          <w:rFonts w:ascii="Nunito Sans" w:eastAsia="Times New Roman" w:hAnsi="Nunito Sans" w:cs="Times New Roman"/>
          <w:b/>
          <w:color w:val="222222"/>
          <w:kern w:val="0"/>
          <w:sz w:val="27"/>
          <w:szCs w:val="27"/>
          <w14:ligatures w14:val="none"/>
        </w:rPr>
        <w:t xml:space="preserve"> </w:t>
      </w:r>
      <w:r w:rsidRPr="00101C75">
        <w:rPr>
          <w:rFonts w:ascii="Nunito Sans" w:eastAsia="Times New Roman" w:hAnsi="Nunito Sans" w:cs="Times New Roman"/>
          <w:bCs/>
          <w:color w:val="222222"/>
          <w:kern w:val="0"/>
          <w:sz w:val="27"/>
          <w:szCs w:val="27"/>
          <w14:ligatures w14:val="none"/>
        </w:rPr>
        <w:t xml:space="preserve">Departments should fill in: Project Name or Description, Vendor # and Name, Solicitation #, explanation, and sign (including name, date, and title). </w:t>
      </w:r>
      <w:r w:rsidRPr="00101C75">
        <w:rPr>
          <w:rFonts w:ascii="Nunito Sans" w:hAnsi="Nunito Sans"/>
          <w:bCs/>
          <w:sz w:val="27"/>
          <w:szCs w:val="27"/>
        </w:rPr>
        <w:t xml:space="preserve">Completed forms should be sent to </w:t>
      </w:r>
      <w:hyperlink r:id="rId8" w:history="1">
        <w:r w:rsidRPr="00101C75">
          <w:rPr>
            <w:rStyle w:val="Hyperlink"/>
            <w:rFonts w:ascii="Nunito Sans" w:hAnsi="Nunito Sans"/>
            <w:bCs/>
            <w:sz w:val="27"/>
            <w:szCs w:val="27"/>
          </w:rPr>
          <w:t>hub@txstate.edu</w:t>
        </w:r>
      </w:hyperlink>
      <w:r w:rsidRPr="00101C75">
        <w:rPr>
          <w:rFonts w:ascii="Nunito Sans" w:hAnsi="Nunito Sans"/>
          <w:bCs/>
          <w:sz w:val="27"/>
          <w:szCs w:val="27"/>
        </w:rPr>
        <w:t xml:space="preserve"> for approval, and attached to the Solicitation, Contract Request, or Requisition.</w:t>
      </w:r>
    </w:p>
    <w:p w14:paraId="593E09A4" w14:textId="77777777" w:rsidR="00F75A7C" w:rsidRPr="00101C75" w:rsidRDefault="00F75A7C" w:rsidP="00F75A7C">
      <w:pPr>
        <w:shd w:val="clear" w:color="auto" w:fill="FFFFFF"/>
        <w:spacing w:after="168" w:line="240" w:lineRule="auto"/>
        <w:rPr>
          <w:rFonts w:ascii="Nunito Sans" w:eastAsia="Times New Roman" w:hAnsi="Nunito Sans" w:cs="Times New Roman"/>
          <w:i/>
          <w:iCs/>
          <w:color w:val="222222"/>
          <w:kern w:val="0"/>
          <w:sz w:val="27"/>
          <w:szCs w:val="27"/>
          <w14:ligatures w14:val="none"/>
        </w:rPr>
      </w:pPr>
      <w:r w:rsidRPr="00101C75">
        <w:rPr>
          <w:rFonts w:ascii="Nunito Sans" w:eastAsia="Times New Roman" w:hAnsi="Nunito Sans" w:cs="Times New Roman"/>
          <w:i/>
          <w:iCs/>
          <w:color w:val="222222"/>
          <w:kern w:val="0"/>
          <w:sz w:val="27"/>
          <w:szCs w:val="27"/>
          <w14:ligatures w14:val="none"/>
        </w:rPr>
        <w:t xml:space="preserve">Please note: In accordance with </w:t>
      </w:r>
      <w:hyperlink r:id="rId9" w:history="1">
        <w:r w:rsidRPr="00101C75">
          <w:rPr>
            <w:rStyle w:val="Hyperlink"/>
            <w:rFonts w:ascii="Nunito Sans" w:eastAsia="Times New Roman" w:hAnsi="Nunito Sans" w:cs="Times New Roman"/>
            <w:i/>
            <w:iCs/>
            <w:kern w:val="0"/>
            <w:sz w:val="27"/>
            <w:szCs w:val="27"/>
            <w14:ligatures w14:val="none"/>
          </w:rPr>
          <w:t>Texas Administrative Code Title 34, Part 1, Chapter 20, Subchapter D, Division 1, 20.282 (20)</w:t>
        </w:r>
      </w:hyperlink>
      <w:r w:rsidRPr="00101C75">
        <w:rPr>
          <w:rFonts w:ascii="Nunito Sans" w:eastAsia="Times New Roman" w:hAnsi="Nunito Sans" w:cs="Times New Roman"/>
          <w:i/>
          <w:iCs/>
          <w:color w:val="222222"/>
          <w:kern w:val="0"/>
          <w:sz w:val="27"/>
          <w:szCs w:val="27"/>
          <w14:ligatures w14:val="none"/>
        </w:rPr>
        <w:t>, “Subcontractor” means an entity that contracts with a prime contractor to work or contribute toward completing work under a purchase order or other contract. The term does not include employees of the contractor but includes contracted workers who will work on the contract.</w:t>
      </w:r>
    </w:p>
    <w:p w14:paraId="3C04C3CD" w14:textId="77777777" w:rsidR="00F75A7C" w:rsidRPr="00101C75" w:rsidRDefault="00F75A7C" w:rsidP="00F75A7C">
      <w:pPr>
        <w:shd w:val="clear" w:color="auto" w:fill="FFFFFF"/>
        <w:spacing w:after="168" w:line="240" w:lineRule="auto"/>
        <w:rPr>
          <w:rFonts w:ascii="Nunito Sans" w:hAnsi="Nunito Sans"/>
          <w:sz w:val="27"/>
          <w:szCs w:val="27"/>
        </w:rPr>
      </w:pPr>
      <w:bookmarkStart w:id="2" w:name="_Hlk158899039"/>
      <w:bookmarkEnd w:id="0"/>
      <w:r w:rsidRPr="00101C75">
        <w:rPr>
          <w:rFonts w:ascii="Nunito Sans" w:hAnsi="Nunito Sans"/>
          <w:sz w:val="27"/>
          <w:szCs w:val="27"/>
        </w:rPr>
        <w:t xml:space="preserve">Contact </w:t>
      </w:r>
      <w:hyperlink r:id="rId10" w:history="1">
        <w:r w:rsidRPr="00101C75">
          <w:rPr>
            <w:rStyle w:val="Hyperlink"/>
            <w:rFonts w:ascii="Nunito Sans" w:hAnsi="Nunito Sans"/>
            <w:sz w:val="27"/>
            <w:szCs w:val="27"/>
          </w:rPr>
          <w:t>hub@txstate.edu</w:t>
        </w:r>
      </w:hyperlink>
      <w:r w:rsidRPr="00101C75">
        <w:rPr>
          <w:rFonts w:ascii="Nunito Sans" w:hAnsi="Nunito Sans"/>
          <w:sz w:val="27"/>
          <w:szCs w:val="27"/>
        </w:rPr>
        <w:t xml:space="preserve"> with any questions.</w:t>
      </w:r>
      <w:bookmarkEnd w:id="2"/>
    </w:p>
    <w:p w14:paraId="7E5155C6" w14:textId="77777777" w:rsidR="00734617" w:rsidRDefault="00734617"/>
    <w:sectPr w:rsidR="0073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7C"/>
    <w:rsid w:val="00307C00"/>
    <w:rsid w:val="0048548D"/>
    <w:rsid w:val="00730921"/>
    <w:rsid w:val="00734617"/>
    <w:rsid w:val="007A76BD"/>
    <w:rsid w:val="00C47430"/>
    <w:rsid w:val="00F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FBAA"/>
  <w15:chartTrackingRefBased/>
  <w15:docId w15:val="{6B2E4DAB-B398-4FE5-AD26-A9A4C5F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@tx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xreg.sos.state.tx.us/public/readtac$ext.TacPage?sl=R&amp;app=9&amp;p_dir=&amp;p_rloc=&amp;p_tloc=&amp;p_ploc=&amp;pg=1&amp;p_tac=&amp;ti=34&amp;pt=1&amp;ch=20&amp;rl=2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us.edu/offices/finance/procure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tutes.capitol.texas.gov/Docs/GV/htm/GV.2155.htm" TargetMode="External"/><Relationship Id="rId10" Type="http://schemas.openxmlformats.org/officeDocument/2006/relationships/hyperlink" Target="mailto:hub@txstate.edu" TargetMode="External"/><Relationship Id="rId4" Type="http://schemas.openxmlformats.org/officeDocument/2006/relationships/hyperlink" Target="https://www.tsus.edu/offices/finance/procurement.html" TargetMode="External"/><Relationship Id="rId9" Type="http://schemas.openxmlformats.org/officeDocument/2006/relationships/hyperlink" Target="https://texreg.sos.state.tx.us/public/readtac$ext.TacPage?sl=R&amp;app=9&amp;p_dir=&amp;p_rloc=&amp;p_tloc=&amp;p_ploc=&amp;pg=1&amp;p_tac=&amp;ti=34&amp;pt=1&amp;ch=20&amp;rl=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1817</Characters>
  <Application>Microsoft Office Word</Application>
  <DocSecurity>0</DocSecurity>
  <Lines>46</Lines>
  <Paragraphs>3</Paragraphs>
  <ScaleCrop>false</ScaleCrop>
  <Company>Texas State University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Mary L</dc:creator>
  <cp:keywords/>
  <dc:description/>
  <cp:lastModifiedBy>Sofia Hernandez</cp:lastModifiedBy>
  <cp:revision>2</cp:revision>
  <dcterms:created xsi:type="dcterms:W3CDTF">2024-02-19T20:58:00Z</dcterms:created>
  <dcterms:modified xsi:type="dcterms:W3CDTF">2024-02-19T20:58:00Z</dcterms:modified>
</cp:coreProperties>
</file>